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TIME CLOCK MANAGEMENT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establishes a time clock management policy to ensure proper documentation of time worked and accurate compensation.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policy emphasizes each employee's responsibility for accurate timekeeping and the legal consequences of inaccurate timekeeping.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timekeeping procedures ensure accurate and complete timekeeping.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clock in before their assigned start time and clock out when going off duty.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clock out each time they leave the work site for any reason other than their assigned work duties.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will be paid from time sheets verified by actual recorded times in the time monitoring system.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clock out for their designated lunch time.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remain clocked in for mandatory meetings.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forget to clock in or out must submit a letter/form of explanation to the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within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hours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after the end of shift on the day of the incident.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who fail to use the time clock will have their pay delayed and may face disciplinary action.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Correcting Records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individual employees’ time clock information is incorrect or missing,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 OR 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work to correct the record and engage the employee in a conversation to determine the hours worked and the reason for the error or omission.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not to make any adjustments or manual changes on their recorded time. Should there be a mistake, they should raise the issue with their immediate supervisor.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Making changes in time record without permission from an immediate supervisor 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 a serious offence that will not be tolerated. 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terminate employment if it is determined that a time record has been falsified and extra time has been added for work not performed or hours have been added for time not spent by the employee.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Management Responsibilities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must verify the accuracy and completeness of all time records by comparing them to schedules and project logs. All overtime must be recorded and approved.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DEPARTMENT/PERSON]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also ensure that any discrepancy or omission is properly handled.  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CZPROfLB+T4mYKLEDdA9D2b22g==">CgMxLjAyCGguZ2pkZ3hzOAByITEzSFBTSHJXM0p0RnpTbnVJcU85RUpScGZ6NXhPVG9Seg==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